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B1B" w:rsidRDefault="00903B1B" w:rsidP="00903B1B">
      <w:pPr>
        <w:pStyle w:val="Style1"/>
        <w:kinsoku w:val="0"/>
        <w:autoSpaceDE/>
        <w:autoSpaceDN/>
        <w:adjustRightInd/>
        <w:spacing w:before="720" w:line="189" w:lineRule="auto"/>
        <w:jc w:val="center"/>
        <w:rPr>
          <w:rFonts w:ascii="Garamond" w:hAnsi="Garamond" w:cs="Garamond"/>
          <w:spacing w:val="-4"/>
          <w:sz w:val="26"/>
          <w:szCs w:val="26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pt;margin-top:35.1pt;width:12.25pt;height:5.55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903B1B" w:rsidRDefault="00903B1B" w:rsidP="00903B1B">
                  <w:pPr>
                    <w:pStyle w:val="Style1"/>
                    <w:kinsoku w:val="0"/>
                    <w:autoSpaceDE/>
                    <w:autoSpaceDN/>
                    <w:adjustRightInd/>
                    <w:spacing w:line="194" w:lineRule="auto"/>
                    <w:rPr>
                      <w:rFonts w:ascii="Arial" w:hAnsi="Arial" w:cs="Arial"/>
                      <w:sz w:val="12"/>
                      <w:szCs w:val="12"/>
                      <w:lang w:val="es-ES" w:eastAsia="es-ES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es-ES" w:eastAsia="es-ES"/>
                    </w:rPr>
                    <w:t>' *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Garamond" w:hAnsi="Garamond" w:cs="Garamond"/>
          <w:spacing w:val="-4"/>
          <w:sz w:val="26"/>
          <w:szCs w:val="26"/>
          <w:lang w:val="es-ES" w:eastAsia="es-ES"/>
        </w:rPr>
        <w:t>RESOLUCION No. 516- 02</w:t>
      </w:r>
    </w:p>
    <w:p w:rsidR="00903B1B" w:rsidRDefault="00903B1B" w:rsidP="00903B1B">
      <w:pPr>
        <w:pStyle w:val="Style1"/>
        <w:kinsoku w:val="0"/>
        <w:autoSpaceDE/>
        <w:autoSpaceDN/>
        <w:adjustRightInd/>
        <w:spacing w:before="612" w:line="204" w:lineRule="auto"/>
        <w:ind w:left="72" w:right="72"/>
        <w:rPr>
          <w:rFonts w:ascii="Garamond" w:hAnsi="Garamond" w:cs="Garamond"/>
          <w:spacing w:val="-4"/>
          <w:sz w:val="26"/>
          <w:szCs w:val="26"/>
          <w:lang w:val="es-ES" w:eastAsia="es-ES"/>
        </w:rPr>
      </w:pPr>
      <w:r>
        <w:rPr>
          <w:rFonts w:ascii="Garamond" w:hAnsi="Garamond" w:cs="Garamond"/>
          <w:spacing w:val="3"/>
          <w:sz w:val="26"/>
          <w:szCs w:val="26"/>
          <w:lang w:val="es-ES" w:eastAsia="es-ES"/>
        </w:rPr>
        <w:t xml:space="preserve">TRIBUNAL ADMINISTRATIVO DE TRANSPORTE. San José, a las diez horas </w:t>
      </w:r>
      <w:r>
        <w:rPr>
          <w:rFonts w:ascii="Garamond" w:hAnsi="Garamond" w:cs="Garamond"/>
          <w:spacing w:val="-4"/>
          <w:sz w:val="26"/>
          <w:szCs w:val="26"/>
          <w:lang w:val="es-ES" w:eastAsia="es-ES"/>
        </w:rPr>
        <w:t>cuarenta y cuatro minutos del dieciséis de octubre del dos mil dos.-</w:t>
      </w:r>
    </w:p>
    <w:p w:rsidR="00903B1B" w:rsidRDefault="00903B1B" w:rsidP="00903B1B">
      <w:pPr>
        <w:pStyle w:val="Style1"/>
        <w:kinsoku w:val="0"/>
        <w:autoSpaceDE/>
        <w:autoSpaceDN/>
        <w:adjustRightInd/>
        <w:spacing w:before="576" w:line="213" w:lineRule="auto"/>
        <w:ind w:left="72" w:right="72"/>
        <w:rPr>
          <w:rFonts w:ascii="Garamond" w:hAnsi="Garamond" w:cs="Garamond"/>
          <w:spacing w:val="-3"/>
          <w:sz w:val="26"/>
          <w:szCs w:val="26"/>
          <w:lang w:val="es-ES" w:eastAsia="es-ES"/>
        </w:rPr>
      </w:pPr>
      <w:r>
        <w:rPr>
          <w:rFonts w:ascii="Garamond" w:hAnsi="Garamond" w:cs="Garamond"/>
          <w:spacing w:val="-6"/>
          <w:sz w:val="26"/>
          <w:szCs w:val="26"/>
          <w:lang w:val="es-ES" w:eastAsia="es-ES"/>
        </w:rPr>
        <w:t xml:space="preserve">GESTION presentada por AAH, cédula de identidad </w:t>
      </w:r>
      <w:proofErr w:type="gramStart"/>
      <w:r>
        <w:rPr>
          <w:rFonts w:ascii="Garamond" w:hAnsi="Garamond" w:cs="Garamond"/>
          <w:spacing w:val="-6"/>
          <w:sz w:val="26"/>
          <w:szCs w:val="26"/>
          <w:lang w:val="es-ES" w:eastAsia="es-ES"/>
        </w:rPr>
        <w:t>número …</w:t>
      </w:r>
      <w:proofErr w:type="gramEnd"/>
      <w:r>
        <w:rPr>
          <w:rFonts w:ascii="Garamond" w:hAnsi="Garamond" w:cs="Garamond"/>
          <w:spacing w:val="-6"/>
          <w:sz w:val="26"/>
          <w:szCs w:val="26"/>
          <w:lang w:val="es-ES" w:eastAsia="es-ES"/>
        </w:rPr>
        <w:t>,</w:t>
      </w:r>
      <w:r>
        <w:rPr>
          <w:rFonts w:ascii="Garamond" w:hAnsi="Garamond" w:cs="Garamond"/>
          <w:spacing w:val="-3"/>
          <w:sz w:val="26"/>
          <w:szCs w:val="26"/>
          <w:lang w:val="es-ES" w:eastAsia="es-ES"/>
        </w:rPr>
        <w:t xml:space="preserve"> tramitado en este Despacho bajo Expediente Administrativo No. TAT-118-02.</w:t>
      </w:r>
    </w:p>
    <w:p w:rsidR="00903B1B" w:rsidRDefault="00903B1B" w:rsidP="00903B1B">
      <w:pPr>
        <w:pStyle w:val="Style1"/>
        <w:kinsoku w:val="0"/>
        <w:autoSpaceDE/>
        <w:autoSpaceDN/>
        <w:adjustRightInd/>
        <w:spacing w:before="540" w:after="396" w:line="182" w:lineRule="auto"/>
        <w:jc w:val="center"/>
        <w:rPr>
          <w:rFonts w:ascii="Garamond" w:hAnsi="Garamond" w:cs="Garamond"/>
          <w:sz w:val="26"/>
          <w:szCs w:val="26"/>
          <w:lang w:val="es-ES" w:eastAsia="es-ES"/>
        </w:rPr>
      </w:pPr>
      <w:r>
        <w:rPr>
          <w:noProof/>
          <w:lang w:val="es-CR"/>
        </w:rPr>
        <w:pict>
          <v:shape id="_x0000_s1027" type="#_x0000_t202" style="position:absolute;left:0;text-align:left;margin-left:-69.1pt;margin-top:27.85pt;width:18.6pt;height:175.25pt;z-index:-25165516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903B1B" w:rsidRDefault="00903B1B" w:rsidP="00903B1B">
                  <w:pPr>
                    <w:pStyle w:val="Style1"/>
                    <w:kinsoku w:val="0"/>
                    <w:autoSpaceDE/>
                    <w:autoSpaceDN/>
                    <w:adjustRightInd/>
                    <w:spacing w:line="208" w:lineRule="exact"/>
                    <w:ind w:left="72"/>
                  </w:pPr>
                </w:p>
                <w:p w:rsidR="00903B1B" w:rsidRDefault="00903B1B" w:rsidP="00903B1B">
                  <w:pPr>
                    <w:pStyle w:val="Style1"/>
                    <w:kinsoku w:val="0"/>
                    <w:autoSpaceDE/>
                    <w:autoSpaceDN/>
                    <w:adjustRightInd/>
                    <w:spacing w:line="264" w:lineRule="auto"/>
                    <w:jc w:val="center"/>
                  </w:pPr>
                </w:p>
              </w:txbxContent>
            </v:textbox>
            <w10:wrap type="square"/>
          </v:shape>
        </w:pict>
      </w:r>
      <w:r>
        <w:rPr>
          <w:rFonts w:ascii="Garamond" w:hAnsi="Garamond" w:cs="Garamond"/>
          <w:sz w:val="26"/>
          <w:szCs w:val="26"/>
          <w:lang w:val="es-ES" w:eastAsia="es-ES"/>
        </w:rPr>
        <w:t>RESULTANDO:</w:t>
      </w:r>
    </w:p>
    <w:p w:rsidR="00903B1B" w:rsidRDefault="00903B1B" w:rsidP="00903B1B">
      <w:pPr>
        <w:pStyle w:val="Style2"/>
        <w:kinsoku w:val="0"/>
        <w:autoSpaceDE/>
        <w:autoSpaceDN/>
        <w:rPr>
          <w:rStyle w:val="CharacterStyle1"/>
          <w:rFonts w:ascii="Garamond" w:hAnsi="Garamond" w:cs="Garamond"/>
          <w:spacing w:val="-2"/>
          <w:lang w:val="es-ES" w:eastAsia="es-ES"/>
        </w:rPr>
      </w:pPr>
      <w:r>
        <w:rPr>
          <w:rStyle w:val="CharacterStyle1"/>
          <w:rFonts w:ascii="Garamond" w:hAnsi="Garamond" w:cs="Garamond"/>
          <w:spacing w:val="-4"/>
          <w:lang w:val="es-ES" w:eastAsia="es-ES"/>
        </w:rPr>
        <w:t xml:space="preserve">PRIMERO: Que el Consejo de Transporte Público, publicó en el Alcance 45 a La Gaceta. </w:t>
      </w:r>
      <w:r>
        <w:rPr>
          <w:rStyle w:val="CharacterStyle1"/>
          <w:rFonts w:ascii="Garamond" w:hAnsi="Garamond" w:cs="Garamond"/>
          <w:lang w:val="es-ES" w:eastAsia="es-ES"/>
        </w:rPr>
        <w:t xml:space="preserve">N°134 del 12 de julio del 2000 el proyecto del "REGLAMENTO DEL PRIMER PR.00EDPMIENTO  ESPECIAL ABREVIADO PARA EL TRANSPORTE </w:t>
      </w:r>
      <w:r>
        <w:rPr>
          <w:rStyle w:val="CharacterStyle1"/>
          <w:rFonts w:ascii="Garamond" w:hAnsi="Garamond" w:cs="Garamond"/>
          <w:spacing w:val="-12"/>
          <w:lang w:val="es-ES" w:eastAsia="es-ES"/>
        </w:rPr>
        <w:t xml:space="preserve">REMUNERADO DE PERSONAS EN VEHÍCULOS EN LA MODALIDAD DE TAXI", </w:t>
      </w:r>
      <w:r>
        <w:rPr>
          <w:rStyle w:val="CharacterStyle1"/>
          <w:rFonts w:ascii="Garamond" w:hAnsi="Garamond" w:cs="Garamond"/>
          <w:spacing w:val="-8"/>
          <w:lang w:val="es-ES" w:eastAsia="es-ES"/>
        </w:rPr>
        <w:t xml:space="preserve">mediante el cual somete a audiencia pública dicho proyecto para que en un plazo de diez días </w:t>
      </w:r>
      <w:r>
        <w:rPr>
          <w:rStyle w:val="CharacterStyle1"/>
          <w:rFonts w:ascii="Garamond" w:hAnsi="Garamond" w:cs="Garamond"/>
          <w:spacing w:val="-2"/>
          <w:lang w:val="es-ES" w:eastAsia="es-ES"/>
        </w:rPr>
        <w:t>hábiles, quien a bien lo tenga, presente las objeciones que se estime convenientes.</w:t>
      </w:r>
    </w:p>
    <w:p w:rsidR="00903B1B" w:rsidRDefault="00903B1B" w:rsidP="00903B1B">
      <w:pPr>
        <w:pStyle w:val="Style2"/>
        <w:kinsoku w:val="0"/>
        <w:autoSpaceDE/>
        <w:autoSpaceDN/>
        <w:spacing w:before="576"/>
        <w:rPr>
          <w:rStyle w:val="CharacterStyle1"/>
          <w:rFonts w:ascii="Garamond" w:hAnsi="Garamond" w:cs="Garamond"/>
          <w:spacing w:val="-10"/>
          <w:lang w:val="es-ES" w:eastAsia="es-ES"/>
        </w:rPr>
      </w:pPr>
      <w:r>
        <w:rPr>
          <w:rStyle w:val="CharacterStyle1"/>
          <w:rFonts w:ascii="Garamond" w:hAnsi="Garamond" w:cs="Garamond"/>
          <w:spacing w:val="1"/>
          <w:lang w:val="es-ES" w:eastAsia="es-ES"/>
        </w:rPr>
        <w:t xml:space="preserve">SEGUNDO: Que mediante Decreto Ejecutivo N°28913-MOPT, publicado el 19 de </w:t>
      </w:r>
      <w:r>
        <w:rPr>
          <w:rStyle w:val="CharacterStyle1"/>
          <w:rFonts w:ascii="Garamond" w:hAnsi="Garamond" w:cs="Garamond"/>
          <w:spacing w:val="-1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rFonts w:ascii="Garamond" w:hAnsi="Garamond" w:cs="Garamond"/>
          <w:spacing w:val="4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rFonts w:ascii="Garamond" w:hAnsi="Garamond" w:cs="Garamond"/>
          <w:spacing w:val="17"/>
          <w:lang w:val="es-ES" w:eastAsia="es-ES"/>
        </w:rPr>
        <w:t xml:space="preserve">PROCEDIMIENTO ESPECIAL ABREVIADO PARA EL TRANSPORTE </w:t>
      </w:r>
      <w:r>
        <w:rPr>
          <w:rStyle w:val="CharacterStyle1"/>
          <w:rFonts w:ascii="Garamond" w:hAnsi="Garamond" w:cs="Garamond"/>
          <w:spacing w:val="-10"/>
          <w:lang w:val="es-ES" w:eastAsia="es-ES"/>
        </w:rPr>
        <w:t>REMUNERADO DE PERSONAS EN VEHICULOS EN LA MODALIDAD DE TAXI"</w:t>
      </w:r>
    </w:p>
    <w:p w:rsidR="00903B1B" w:rsidRDefault="00903B1B" w:rsidP="00903B1B">
      <w:pPr>
        <w:pStyle w:val="Style2"/>
        <w:kinsoku w:val="0"/>
        <w:autoSpaceDE/>
        <w:autoSpaceDN/>
        <w:spacing w:before="612"/>
        <w:rPr>
          <w:rStyle w:val="CharacterStyle1"/>
          <w:rFonts w:ascii="Garamond" w:hAnsi="Garamond" w:cs="Garamond"/>
          <w:spacing w:val="-4"/>
          <w:lang w:val="es-ES" w:eastAsia="es-ES"/>
        </w:rPr>
      </w:pPr>
      <w:r>
        <w:rPr>
          <w:rStyle w:val="CharacterStyle1"/>
          <w:rFonts w:ascii="Garamond" w:hAnsi="Garamond" w:cs="Garamond"/>
          <w:spacing w:val="-2"/>
          <w:lang w:val="es-ES" w:eastAsia="es-ES"/>
        </w:rPr>
        <w:t xml:space="preserve">TERCERO: Que el Consejo de Transporte Público, mediante acuerdo firme, publicado en el Alcance N°66 a La Gaceta N°171, de fecha 6 de setiembre del 2001, estableció el listado de calificación de las ofertas del Primer Procedimiento Abreviado de Taxis, obtenida para </w:t>
      </w:r>
      <w:r>
        <w:rPr>
          <w:rStyle w:val="CharacterStyle1"/>
          <w:rFonts w:ascii="Garamond" w:hAnsi="Garamond" w:cs="Garamond"/>
          <w:spacing w:val="-4"/>
          <w:lang w:val="es-ES" w:eastAsia="es-ES"/>
        </w:rPr>
        <w:t>cada uno de los participantes, en la cual se le consigna calificación de 80% al oferente.</w:t>
      </w:r>
    </w:p>
    <w:p w:rsidR="00903B1B" w:rsidRDefault="00903B1B" w:rsidP="00903B1B">
      <w:pPr>
        <w:pStyle w:val="Style2"/>
        <w:kinsoku w:val="0"/>
        <w:autoSpaceDE/>
        <w:autoSpaceDN/>
        <w:spacing w:before="432" w:line="206" w:lineRule="auto"/>
        <w:rPr>
          <w:rStyle w:val="CharacterStyle1"/>
          <w:rFonts w:ascii="Garamond" w:hAnsi="Garamond" w:cs="Garamond"/>
          <w:lang w:val="es-ES" w:eastAsia="es-ES"/>
        </w:rPr>
      </w:pPr>
      <w:r>
        <w:rPr>
          <w:rStyle w:val="CharacterStyle1"/>
          <w:rFonts w:ascii="Garamond" w:hAnsi="Garamond" w:cs="Garamond"/>
          <w:spacing w:val="-7"/>
          <w:lang w:val="es-ES" w:eastAsia="es-ES"/>
        </w:rPr>
        <w:t xml:space="preserve">CUARTO: Que el Consejo de Transporte Público, mediante acuerdo firme, publicado en el Alcance N°73 a La Gaceta N°199, de fecha 17 de octubre del 2001, estableció un listado de </w:t>
      </w:r>
      <w:r>
        <w:rPr>
          <w:rStyle w:val="CharacterStyle1"/>
          <w:rFonts w:ascii="Garamond" w:hAnsi="Garamond" w:cs="Garamond"/>
          <w:spacing w:val="1"/>
          <w:lang w:val="es-ES" w:eastAsia="es-ES"/>
        </w:rPr>
        <w:t xml:space="preserve">aclaraciones a las calificaciones de los oferentes del Primer Procedimiento Especial </w:t>
      </w:r>
      <w:r>
        <w:rPr>
          <w:rStyle w:val="CharacterStyle1"/>
          <w:rFonts w:ascii="Garamond" w:hAnsi="Garamond" w:cs="Garamond"/>
          <w:spacing w:val="-2"/>
          <w:lang w:val="es-ES" w:eastAsia="es-ES"/>
        </w:rPr>
        <w:t xml:space="preserve">Abreviado de Taxis, publicadas en el Alcance N°66 a La Gaceta N° 171, de fecha 6 de </w:t>
      </w:r>
      <w:r>
        <w:rPr>
          <w:rStyle w:val="CharacterStyle1"/>
          <w:rFonts w:ascii="Garamond" w:hAnsi="Garamond" w:cs="Garamond"/>
          <w:spacing w:val="-5"/>
          <w:lang w:val="es-ES" w:eastAsia="es-ES"/>
        </w:rPr>
        <w:t xml:space="preserve">setiembre del 2001, en la cual se consigna al </w:t>
      </w:r>
      <w:proofErr w:type="spellStart"/>
      <w:r>
        <w:rPr>
          <w:rStyle w:val="CharacterStyle1"/>
          <w:rFonts w:ascii="Garamond" w:hAnsi="Garamond" w:cs="Garamond"/>
          <w:spacing w:val="-5"/>
          <w:lang w:val="es-ES" w:eastAsia="es-ES"/>
        </w:rPr>
        <w:t>gestionante</w:t>
      </w:r>
      <w:proofErr w:type="spellEnd"/>
      <w:r>
        <w:rPr>
          <w:rStyle w:val="CharacterStyle1"/>
          <w:rFonts w:ascii="Garamond" w:hAnsi="Garamond" w:cs="Garamond"/>
          <w:spacing w:val="-5"/>
          <w:lang w:val="es-ES" w:eastAsia="es-ES"/>
        </w:rPr>
        <w:t xml:space="preserve"> nuevamente una calificación de 80 </w:t>
      </w:r>
      <w:r>
        <w:rPr>
          <w:rStyle w:val="CharacterStyle1"/>
          <w:rFonts w:ascii="Garamond" w:hAnsi="Garamond" w:cs="Garamond"/>
          <w:lang w:val="es-ES" w:eastAsia="es-ES"/>
        </w:rPr>
        <w:t>Puntos.</w:t>
      </w:r>
    </w:p>
    <w:p w:rsidR="00903B1B" w:rsidRDefault="00903B1B" w:rsidP="00903B1B">
      <w:pPr>
        <w:widowControl/>
        <w:kinsoku/>
        <w:autoSpaceDE w:val="0"/>
        <w:autoSpaceDN w:val="0"/>
        <w:adjustRightInd w:val="0"/>
        <w:sectPr w:rsidR="00903B1B">
          <w:pgSz w:w="12240" w:h="15840"/>
          <w:pgMar w:top="715" w:right="818" w:bottom="1570" w:left="2342" w:header="720" w:footer="720" w:gutter="0"/>
          <w:cols w:space="720"/>
          <w:noEndnote/>
        </w:sectPr>
      </w:pPr>
    </w:p>
    <w:p w:rsidR="00903B1B" w:rsidRDefault="00903B1B" w:rsidP="00903B1B">
      <w:pPr>
        <w:pStyle w:val="Style1"/>
        <w:kinsoku w:val="0"/>
        <w:autoSpaceDE/>
        <w:autoSpaceDN/>
        <w:adjustRightInd/>
        <w:spacing w:line="276" w:lineRule="exact"/>
        <w:ind w:right="144"/>
        <w:jc w:val="both"/>
        <w:rPr>
          <w:rFonts w:ascii="Garamond" w:hAnsi="Garamond" w:cs="Garamond"/>
          <w:sz w:val="26"/>
          <w:szCs w:val="26"/>
          <w:lang w:val="es-ES" w:eastAsia="es-ES"/>
        </w:rPr>
      </w:pPr>
      <w:r>
        <w:rPr>
          <w:rFonts w:ascii="Garamond" w:hAnsi="Garamond" w:cs="Garamond"/>
          <w:spacing w:val="-5"/>
          <w:sz w:val="26"/>
          <w:szCs w:val="26"/>
          <w:lang w:val="es-ES" w:eastAsia="es-ES"/>
        </w:rPr>
        <w:lastRenderedPageBreak/>
        <w:t xml:space="preserve">QTTINTO: Que el Consejo de Transporte Público, mediante Artículo N°1 de la Sesión </w:t>
      </w:r>
      <w:r>
        <w:rPr>
          <w:rFonts w:ascii="Garamond" w:hAnsi="Garamond" w:cs="Garamond"/>
          <w:spacing w:val="-4"/>
          <w:sz w:val="26"/>
          <w:szCs w:val="26"/>
          <w:lang w:val="es-ES" w:eastAsia="es-ES"/>
        </w:rPr>
        <w:t xml:space="preserve">Extraordinaria N°37-2001 de fecha 24 de octubre del 2001, publicado al Alcance N°75-A a La Gaceta N'207, de fecha 29 de octubre del 2001, convoca a los interesados a efectos de </w:t>
      </w:r>
      <w:r>
        <w:rPr>
          <w:rFonts w:ascii="Garamond" w:hAnsi="Garamond" w:cs="Garamond"/>
          <w:spacing w:val="-5"/>
          <w:sz w:val="26"/>
          <w:szCs w:val="26"/>
          <w:lang w:val="es-ES" w:eastAsia="es-ES"/>
        </w:rPr>
        <w:t xml:space="preserve">realizar la comunicación del resultado de sus medidas recursivas, por cuanto en la lista de </w:t>
      </w:r>
      <w:r>
        <w:rPr>
          <w:rFonts w:ascii="Garamond" w:hAnsi="Garamond" w:cs="Garamond"/>
          <w:spacing w:val="-4"/>
          <w:sz w:val="26"/>
          <w:szCs w:val="26"/>
          <w:lang w:val="es-ES" w:eastAsia="es-ES"/>
        </w:rPr>
        <w:t xml:space="preserve">oferentes que se señalan en esa publicación éstos han adquirido una calificación igual, mayor </w:t>
      </w:r>
      <w:r>
        <w:rPr>
          <w:rFonts w:ascii="Garamond" w:hAnsi="Garamond" w:cs="Garamond"/>
          <w:spacing w:val="-1"/>
          <w:sz w:val="26"/>
          <w:szCs w:val="26"/>
          <w:lang w:val="es-ES" w:eastAsia="es-ES"/>
        </w:rPr>
        <w:t xml:space="preserve">o corregida a la solicitada. En el caso del recurrente en la citada publicación, página 65 </w:t>
      </w:r>
      <w:r>
        <w:rPr>
          <w:rFonts w:ascii="Garamond" w:hAnsi="Garamond" w:cs="Garamond"/>
          <w:spacing w:val="-8"/>
          <w:sz w:val="26"/>
          <w:szCs w:val="26"/>
          <w:lang w:val="es-ES" w:eastAsia="es-ES"/>
        </w:rPr>
        <w:t xml:space="preserve">aparece dentro de las ofertas que participarán en el proceso aleatorio en la base de operación </w:t>
      </w:r>
      <w:r>
        <w:rPr>
          <w:rFonts w:ascii="Garamond" w:hAnsi="Garamond" w:cs="Garamond"/>
          <w:sz w:val="26"/>
          <w:szCs w:val="26"/>
          <w:lang w:val="es-ES" w:eastAsia="es-ES"/>
        </w:rPr>
        <w:t>202010.</w:t>
      </w:r>
    </w:p>
    <w:p w:rsidR="00903B1B" w:rsidRDefault="00903B1B" w:rsidP="00903B1B">
      <w:pPr>
        <w:pStyle w:val="Style3"/>
        <w:kinsoku w:val="0"/>
        <w:autoSpaceDE/>
        <w:autoSpaceDN/>
        <w:spacing w:before="396" w:line="284" w:lineRule="exact"/>
        <w:ind w:right="144"/>
        <w:rPr>
          <w:rStyle w:val="CharacterStyle1"/>
          <w:rFonts w:ascii="Garamond" w:hAnsi="Garamond" w:cs="Garamond"/>
          <w:spacing w:val="-6"/>
          <w:lang w:val="es-ES" w:eastAsia="es-ES"/>
        </w:rPr>
      </w:pPr>
      <w:r>
        <w:rPr>
          <w:rStyle w:val="CharacterStyle1"/>
          <w:rFonts w:ascii="Garamond" w:hAnsi="Garamond" w:cs="Garamond"/>
          <w:spacing w:val="-4"/>
          <w:lang w:val="es-ES" w:eastAsia="es-ES"/>
        </w:rPr>
        <w:t xml:space="preserve">SEXTO: Que el 05 de noviembre del 2001 el señor Acuña presenta solicitud para que le </w:t>
      </w:r>
      <w:r>
        <w:rPr>
          <w:rStyle w:val="CharacterStyle1"/>
          <w:rFonts w:ascii="Garamond" w:hAnsi="Garamond" w:cs="Garamond"/>
          <w:spacing w:val="-6"/>
          <w:lang w:val="es-ES" w:eastAsia="es-ES"/>
        </w:rPr>
        <w:t>cambien de base de operación.</w:t>
      </w:r>
    </w:p>
    <w:p w:rsidR="00903B1B" w:rsidRDefault="00903B1B" w:rsidP="00903B1B">
      <w:pPr>
        <w:pStyle w:val="Style3"/>
        <w:kinsoku w:val="0"/>
        <w:autoSpaceDE/>
        <w:autoSpaceDN/>
        <w:spacing w:before="360" w:line="296" w:lineRule="exact"/>
        <w:rPr>
          <w:rStyle w:val="CharacterStyle1"/>
          <w:rFonts w:ascii="Garamond" w:hAnsi="Garamond" w:cs="Garamond"/>
          <w:spacing w:val="-5"/>
          <w:lang w:val="es-ES" w:eastAsia="es-ES"/>
        </w:rPr>
      </w:pPr>
      <w:r>
        <w:rPr>
          <w:rStyle w:val="CharacterStyle1"/>
          <w:rFonts w:ascii="Garamond" w:hAnsi="Garamond" w:cs="Garamond"/>
          <w:spacing w:val="-5"/>
          <w:lang w:val="es-ES" w:eastAsia="es-ES"/>
        </w:rPr>
        <w:t>SETIMO: En los procedimientos seguidos se han observado las prescripciones legales.</w:t>
      </w:r>
    </w:p>
    <w:p w:rsidR="00903B1B" w:rsidRDefault="00903B1B" w:rsidP="00903B1B">
      <w:pPr>
        <w:pStyle w:val="Style3"/>
        <w:kinsoku w:val="0"/>
        <w:autoSpaceDE/>
        <w:autoSpaceDN/>
        <w:spacing w:line="286" w:lineRule="exact"/>
        <w:rPr>
          <w:rStyle w:val="CharacterStyle1"/>
          <w:rFonts w:ascii="Garamond" w:hAnsi="Garamond" w:cs="Garamond"/>
          <w:lang w:val="es-ES" w:eastAsia="es-ES"/>
        </w:rPr>
      </w:pPr>
      <w:r>
        <w:rPr>
          <w:rStyle w:val="CharacterStyle1"/>
          <w:rFonts w:ascii="Garamond" w:hAnsi="Garamond" w:cs="Garamond"/>
          <w:lang w:val="es-ES" w:eastAsia="es-ES"/>
        </w:rPr>
        <w:t>Redacta el Juez Fallas Acosta; y,</w:t>
      </w:r>
    </w:p>
    <w:p w:rsidR="00903B1B" w:rsidRDefault="00903B1B" w:rsidP="00903B1B">
      <w:pPr>
        <w:pStyle w:val="Style1"/>
        <w:kinsoku w:val="0"/>
        <w:autoSpaceDE/>
        <w:autoSpaceDN/>
        <w:adjustRightInd/>
        <w:spacing w:before="576" w:line="238" w:lineRule="exact"/>
        <w:ind w:left="3384"/>
        <w:rPr>
          <w:rFonts w:ascii="Garamond" w:hAnsi="Garamond" w:cs="Garamond"/>
          <w:sz w:val="26"/>
          <w:szCs w:val="26"/>
          <w:lang w:val="es-ES" w:eastAsia="es-ES"/>
        </w:rPr>
      </w:pPr>
      <w:r>
        <w:rPr>
          <w:rFonts w:ascii="Garamond" w:hAnsi="Garamond" w:cs="Garamond"/>
          <w:sz w:val="26"/>
          <w:szCs w:val="26"/>
          <w:lang w:val="es-ES" w:eastAsia="es-ES"/>
        </w:rPr>
        <w:t>CONSIDERANDO:</w:t>
      </w:r>
    </w:p>
    <w:p w:rsidR="00903B1B" w:rsidRDefault="00903B1B" w:rsidP="00903B1B">
      <w:pPr>
        <w:pStyle w:val="Style1"/>
        <w:kinsoku w:val="0"/>
        <w:autoSpaceDE/>
        <w:autoSpaceDN/>
        <w:adjustRightInd/>
        <w:spacing w:before="576" w:line="280" w:lineRule="exact"/>
        <w:ind w:right="144"/>
        <w:jc w:val="both"/>
        <w:rPr>
          <w:rFonts w:ascii="Garamond" w:hAnsi="Garamond" w:cs="Garamond"/>
          <w:spacing w:val="-5"/>
          <w:sz w:val="26"/>
          <w:szCs w:val="26"/>
          <w:lang w:val="es-ES" w:eastAsia="es-ES"/>
        </w:rPr>
      </w:pPr>
      <w:r>
        <w:rPr>
          <w:rFonts w:ascii="Garamond" w:hAnsi="Garamond" w:cs="Garamond"/>
          <w:spacing w:val="-2"/>
          <w:sz w:val="26"/>
          <w:szCs w:val="26"/>
          <w:lang w:val="es-ES" w:eastAsia="es-ES"/>
        </w:rPr>
        <w:t xml:space="preserve">SOBRE LA COMPETENCIA: De conformidad con el artículo 22 de la Ley Reguladora </w:t>
      </w:r>
      <w:r>
        <w:rPr>
          <w:rFonts w:ascii="Garamond" w:hAnsi="Garamond" w:cs="Garamond"/>
          <w:spacing w:val="-4"/>
          <w:sz w:val="26"/>
          <w:szCs w:val="26"/>
          <w:lang w:val="es-ES" w:eastAsia="es-ES"/>
        </w:rPr>
        <w:t xml:space="preserve">del Servicio Público de Transporte Remunerado de Personas en Vehículos en la Modalidad </w:t>
      </w:r>
      <w:r>
        <w:rPr>
          <w:rFonts w:ascii="Garamond" w:hAnsi="Garamond" w:cs="Garamond"/>
          <w:spacing w:val="-3"/>
          <w:sz w:val="26"/>
          <w:szCs w:val="26"/>
          <w:lang w:val="es-ES" w:eastAsia="es-ES"/>
        </w:rPr>
        <w:t xml:space="preserve">de Taxi, No. 7969 del 22 de diciembre de 1999, en relación con el artículo 15 del Decreto </w:t>
      </w:r>
      <w:r>
        <w:rPr>
          <w:rFonts w:ascii="Garamond" w:hAnsi="Garamond" w:cs="Garamond"/>
          <w:spacing w:val="-4"/>
          <w:sz w:val="26"/>
          <w:szCs w:val="26"/>
          <w:lang w:val="es-ES" w:eastAsia="es-ES"/>
        </w:rPr>
        <w:t xml:space="preserve">No. 28913-MOPT denominado "Reglamento del primer procedimiento especial abreviado </w:t>
      </w:r>
      <w:r>
        <w:rPr>
          <w:rFonts w:ascii="Garamond" w:hAnsi="Garamond" w:cs="Garamond"/>
          <w:spacing w:val="-3"/>
          <w:sz w:val="26"/>
          <w:szCs w:val="26"/>
          <w:lang w:val="es-ES" w:eastAsia="es-ES"/>
        </w:rPr>
        <w:t xml:space="preserve">para el transporte remunerado de personas en vehículos en la modalidad de taxi" y sus </w:t>
      </w:r>
      <w:r>
        <w:rPr>
          <w:rFonts w:ascii="Garamond" w:hAnsi="Garamond" w:cs="Garamond"/>
          <w:spacing w:val="-2"/>
          <w:sz w:val="26"/>
          <w:szCs w:val="26"/>
          <w:lang w:val="es-ES" w:eastAsia="es-ES"/>
        </w:rPr>
        <w:t xml:space="preserve">reformas; así como la resolución de la Contraloría General de la República No. R.C-694- </w:t>
      </w:r>
      <w:r>
        <w:rPr>
          <w:rFonts w:ascii="Garamond" w:hAnsi="Garamond" w:cs="Garamond"/>
          <w:spacing w:val="-6"/>
          <w:sz w:val="26"/>
          <w:szCs w:val="26"/>
          <w:lang w:val="es-ES" w:eastAsia="es-ES"/>
        </w:rPr>
        <w:t xml:space="preserve">2001 de las nueve horas con cuarenta y cinco minutos del trece de noviembre del 2001, el </w:t>
      </w:r>
      <w:r>
        <w:rPr>
          <w:rFonts w:ascii="Garamond" w:hAnsi="Garamond" w:cs="Garamond"/>
          <w:spacing w:val="-5"/>
          <w:sz w:val="26"/>
          <w:szCs w:val="26"/>
          <w:lang w:val="es-ES" w:eastAsia="es-ES"/>
        </w:rPr>
        <w:t xml:space="preserve">Tribunal Administrativo de Transporte es el competente para conocer y resolver los recursos </w:t>
      </w:r>
      <w:r>
        <w:rPr>
          <w:rFonts w:ascii="Garamond" w:hAnsi="Garamond" w:cs="Garamond"/>
          <w:spacing w:val="-8"/>
          <w:sz w:val="26"/>
          <w:szCs w:val="26"/>
          <w:lang w:val="es-ES" w:eastAsia="es-ES"/>
        </w:rPr>
        <w:t xml:space="preserve">de apelación de los actos emitidos por el Consejo de Transporte Público; sin embargo no es </w:t>
      </w:r>
      <w:r>
        <w:rPr>
          <w:rFonts w:ascii="Garamond" w:hAnsi="Garamond" w:cs="Garamond"/>
          <w:spacing w:val="-6"/>
          <w:sz w:val="26"/>
          <w:szCs w:val="26"/>
          <w:lang w:val="es-ES" w:eastAsia="es-ES"/>
        </w:rPr>
        <w:t xml:space="preserve">competente para conocer simples solicitudes como la presente, en la que la </w:t>
      </w:r>
      <w:proofErr w:type="spellStart"/>
      <w:r>
        <w:rPr>
          <w:rFonts w:ascii="Garamond" w:hAnsi="Garamond" w:cs="Garamond"/>
          <w:spacing w:val="-6"/>
          <w:sz w:val="26"/>
          <w:szCs w:val="26"/>
          <w:lang w:val="es-ES" w:eastAsia="es-ES"/>
        </w:rPr>
        <w:t>gestionante</w:t>
      </w:r>
      <w:proofErr w:type="spellEnd"/>
      <w:r>
        <w:rPr>
          <w:rFonts w:ascii="Garamond" w:hAnsi="Garamond" w:cs="Garamond"/>
          <w:spacing w:val="-6"/>
          <w:sz w:val="26"/>
          <w:szCs w:val="26"/>
          <w:lang w:val="es-ES" w:eastAsia="es-ES"/>
        </w:rPr>
        <w:t xml:space="preserve"> dedica </w:t>
      </w:r>
      <w:r>
        <w:rPr>
          <w:rFonts w:ascii="Garamond" w:hAnsi="Garamond" w:cs="Garamond"/>
          <w:spacing w:val="-5"/>
          <w:sz w:val="26"/>
          <w:szCs w:val="26"/>
          <w:lang w:val="es-ES" w:eastAsia="es-ES"/>
        </w:rPr>
        <w:t>la oportunidad procesal, para solicitar se cambie la base de operación en la que ofertó.</w:t>
      </w:r>
    </w:p>
    <w:p w:rsidR="00903B1B" w:rsidRDefault="00903B1B" w:rsidP="00903B1B">
      <w:pPr>
        <w:pStyle w:val="Style3"/>
        <w:kinsoku w:val="0"/>
        <w:autoSpaceDE/>
        <w:autoSpaceDN/>
        <w:spacing w:line="283" w:lineRule="exact"/>
        <w:ind w:right="144"/>
        <w:rPr>
          <w:rStyle w:val="CharacterStyle1"/>
          <w:rFonts w:ascii="Garamond" w:hAnsi="Garamond" w:cs="Garamond"/>
          <w:spacing w:val="-5"/>
          <w:lang w:val="es-ES" w:eastAsia="es-ES"/>
        </w:rPr>
      </w:pPr>
      <w:r>
        <w:rPr>
          <w:rStyle w:val="CharacterStyle1"/>
          <w:rFonts w:ascii="Garamond" w:hAnsi="Garamond" w:cs="Garamond"/>
          <w:spacing w:val="-5"/>
          <w:lang w:val="es-ES" w:eastAsia="es-ES"/>
        </w:rPr>
        <w:t>Adicionalmente a esto debe tomarse en cuenta que el artículo 181 de la Ley General de la Administración Pública, señala textualmente lo siguiente:</w:t>
      </w:r>
    </w:p>
    <w:p w:rsidR="00903B1B" w:rsidRDefault="00903B1B" w:rsidP="00903B1B">
      <w:pPr>
        <w:pStyle w:val="Style1"/>
        <w:kinsoku w:val="0"/>
        <w:autoSpaceDE/>
        <w:autoSpaceDN/>
        <w:adjustRightInd/>
        <w:spacing w:before="180" w:line="272" w:lineRule="exact"/>
        <w:ind w:right="144"/>
        <w:jc w:val="both"/>
        <w:rPr>
          <w:i/>
          <w:iCs/>
          <w:spacing w:val="8"/>
          <w:sz w:val="22"/>
          <w:szCs w:val="22"/>
          <w:lang w:val="es-ES" w:eastAsia="es-ES"/>
        </w:rPr>
      </w:pPr>
      <w:r>
        <w:rPr>
          <w:i/>
          <w:iCs/>
          <w:spacing w:val="8"/>
          <w:sz w:val="22"/>
          <w:szCs w:val="22"/>
          <w:lang w:val="es-ES" w:eastAsia="es-ES"/>
        </w:rPr>
        <w:t xml:space="preserve">`Articulo 181.- El contralor no jerárquico podrá revisar sólo la legalidad del acto en </w:t>
      </w:r>
      <w:r>
        <w:rPr>
          <w:i/>
          <w:iCs/>
          <w:spacing w:val="16"/>
          <w:sz w:val="22"/>
          <w:szCs w:val="22"/>
          <w:lang w:val="es-ES" w:eastAsia="es-ES"/>
        </w:rPr>
        <w:t xml:space="preserve">virtud de recurso administrativo, y decidirá dentro del límite de las pretensiones </w:t>
      </w:r>
      <w:r>
        <w:rPr>
          <w:i/>
          <w:iCs/>
          <w:spacing w:val="12"/>
          <w:sz w:val="22"/>
          <w:szCs w:val="22"/>
          <w:lang w:val="es-ES" w:eastAsia="es-ES"/>
        </w:rPr>
        <w:t xml:space="preserve">cuestiones de hecho planteadas por el recurrente, pero podrá aplicar una norma no </w:t>
      </w:r>
      <w:r>
        <w:rPr>
          <w:i/>
          <w:iCs/>
          <w:spacing w:val="8"/>
          <w:sz w:val="22"/>
          <w:szCs w:val="22"/>
          <w:lang w:val="es-ES" w:eastAsia="es-ES"/>
        </w:rPr>
        <w:t>invocada en el recurso."</w:t>
      </w:r>
    </w:p>
    <w:p w:rsidR="00903B1B" w:rsidRDefault="00903B1B" w:rsidP="00903B1B">
      <w:pPr>
        <w:widowControl/>
        <w:kinsoku/>
        <w:autoSpaceDE w:val="0"/>
        <w:autoSpaceDN w:val="0"/>
        <w:adjustRightInd w:val="0"/>
        <w:sectPr w:rsidR="00903B1B">
          <w:pgSz w:w="12240" w:h="15840"/>
          <w:pgMar w:top="714" w:right="1495" w:bottom="1596" w:left="1685" w:header="720" w:footer="720" w:gutter="0"/>
          <w:cols w:space="720"/>
          <w:noEndnote/>
        </w:sectPr>
      </w:pPr>
    </w:p>
    <w:p w:rsidR="00903B1B" w:rsidRDefault="00903B1B" w:rsidP="00903B1B">
      <w:pPr>
        <w:pStyle w:val="Style4"/>
        <w:tabs>
          <w:tab w:val="right" w:pos="9946"/>
        </w:tabs>
        <w:kinsoku w:val="0"/>
        <w:autoSpaceDE/>
        <w:autoSpaceDN/>
        <w:adjustRightInd/>
        <w:spacing w:line="304" w:lineRule="exact"/>
        <w:rPr>
          <w:rStyle w:val="CharacterStyle3"/>
          <w:rFonts w:ascii="Garamond" w:hAnsi="Garamond" w:cs="Garamond"/>
          <w:sz w:val="26"/>
          <w:szCs w:val="26"/>
          <w:lang w:val="es-ES" w:eastAsia="es-ES"/>
        </w:rPr>
      </w:pPr>
      <w:r>
        <w:rPr>
          <w:rStyle w:val="CharacterStyle3"/>
          <w:rFonts w:ascii="Garamond" w:hAnsi="Garamond" w:cs="Garamond"/>
          <w:spacing w:val="-4"/>
          <w:sz w:val="26"/>
          <w:szCs w:val="26"/>
          <w:lang w:val="es-ES" w:eastAsia="es-ES"/>
        </w:rPr>
        <w:lastRenderedPageBreak/>
        <w:t>Del texto normativo, podemos extraer, que el Tribunal Administrativo de Transporte cono.</w:t>
      </w:r>
      <w:r>
        <w:rPr>
          <w:rStyle w:val="CharacterStyle3"/>
          <w:rFonts w:ascii="Garamond" w:hAnsi="Garamond" w:cs="Garamond"/>
          <w:spacing w:val="-4"/>
          <w:sz w:val="26"/>
          <w:szCs w:val="26"/>
          <w:lang w:val="es-ES" w:eastAsia="es-ES"/>
        </w:rPr>
        <w:tab/>
      </w:r>
    </w:p>
    <w:p w:rsidR="00903B1B" w:rsidRDefault="00903B1B" w:rsidP="00903B1B">
      <w:pPr>
        <w:pStyle w:val="Style4"/>
        <w:kinsoku w:val="0"/>
        <w:autoSpaceDE/>
        <w:autoSpaceDN/>
        <w:adjustRightInd/>
        <w:spacing w:before="144" w:line="208" w:lineRule="auto"/>
        <w:ind w:right="1080"/>
        <w:jc w:val="both"/>
        <w:rPr>
          <w:rStyle w:val="CharacterStyle3"/>
          <w:rFonts w:ascii="Garamond" w:hAnsi="Garamond" w:cs="Garamond"/>
          <w:spacing w:val="-5"/>
          <w:sz w:val="26"/>
          <w:szCs w:val="26"/>
          <w:lang w:val="es-ES" w:eastAsia="es-ES"/>
        </w:rPr>
      </w:pPr>
      <w:r>
        <w:rPr>
          <w:rStyle w:val="CharacterStyle3"/>
          <w:rFonts w:ascii="Garamond" w:hAnsi="Garamond" w:cs="Garamond"/>
          <w:spacing w:val="-4"/>
          <w:sz w:val="26"/>
          <w:szCs w:val="26"/>
          <w:lang w:val="es-ES" w:eastAsia="es-ES"/>
        </w:rPr>
        <w:t xml:space="preserve">contralor no jerárquico, no podrá conocer sobre simples gestiones que no se presenten en </w:t>
      </w:r>
      <w:r>
        <w:rPr>
          <w:rStyle w:val="CharacterStyle3"/>
          <w:rFonts w:ascii="Garamond" w:hAnsi="Garamond" w:cs="Garamond"/>
          <w:spacing w:val="-3"/>
          <w:sz w:val="26"/>
          <w:szCs w:val="26"/>
          <w:lang w:val="es-ES" w:eastAsia="es-ES"/>
        </w:rPr>
        <w:t xml:space="preserve">forma conjunta con los recursos de apelación, los que deberán presentarse con todas las </w:t>
      </w:r>
      <w:r>
        <w:rPr>
          <w:rStyle w:val="CharacterStyle3"/>
          <w:rFonts w:ascii="Garamond" w:hAnsi="Garamond" w:cs="Garamond"/>
          <w:spacing w:val="-1"/>
          <w:sz w:val="26"/>
          <w:szCs w:val="26"/>
          <w:lang w:val="es-ES" w:eastAsia="es-ES"/>
        </w:rPr>
        <w:t xml:space="preserve">formalidades que exige la admisibilidad, caso contrario, deberán ser rechazadas por no </w:t>
      </w:r>
      <w:r>
        <w:rPr>
          <w:rStyle w:val="CharacterStyle3"/>
          <w:rFonts w:ascii="Garamond" w:hAnsi="Garamond" w:cs="Garamond"/>
          <w:spacing w:val="-5"/>
          <w:sz w:val="26"/>
          <w:szCs w:val="26"/>
          <w:lang w:val="es-ES" w:eastAsia="es-ES"/>
        </w:rPr>
        <w:t>encontrar arraigo en Recurso de Alzada que permita habilitar a esta sede.</w:t>
      </w:r>
    </w:p>
    <w:p w:rsidR="00903B1B" w:rsidRDefault="00903B1B" w:rsidP="00903B1B">
      <w:pPr>
        <w:pStyle w:val="Style4"/>
        <w:kinsoku w:val="0"/>
        <w:autoSpaceDE/>
        <w:autoSpaceDN/>
        <w:adjustRightInd/>
        <w:spacing w:before="396" w:line="266" w:lineRule="exact"/>
        <w:ind w:right="1152"/>
        <w:jc w:val="both"/>
        <w:rPr>
          <w:rStyle w:val="CharacterStyle3"/>
          <w:rFonts w:ascii="Garamond" w:hAnsi="Garamond" w:cs="Garamond"/>
          <w:sz w:val="26"/>
          <w:szCs w:val="26"/>
          <w:lang w:val="es-ES" w:eastAsia="es-ES"/>
        </w:rPr>
      </w:pPr>
      <w:r>
        <w:rPr>
          <w:rStyle w:val="CharacterStyle3"/>
          <w:rFonts w:ascii="Garamond" w:hAnsi="Garamond" w:cs="Garamond"/>
          <w:spacing w:val="-5"/>
          <w:sz w:val="26"/>
          <w:szCs w:val="26"/>
          <w:lang w:val="es-ES" w:eastAsia="es-ES"/>
        </w:rPr>
        <w:t xml:space="preserve">Al respecto el Tribunal Superior Contencioso Administrativo, Sección Tercera, mediante </w:t>
      </w:r>
      <w:r>
        <w:rPr>
          <w:rStyle w:val="CharacterStyle3"/>
          <w:rFonts w:ascii="Garamond" w:hAnsi="Garamond" w:cs="Garamond"/>
          <w:spacing w:val="3"/>
          <w:sz w:val="26"/>
          <w:szCs w:val="26"/>
          <w:lang w:val="es-ES" w:eastAsia="es-ES"/>
        </w:rPr>
        <w:t xml:space="preserve">resolución No. 4451 de las 9:30 horas del </w:t>
      </w:r>
      <w:r>
        <w:rPr>
          <w:rStyle w:val="CharacterStyle3"/>
          <w:rFonts w:ascii="Bookman Old Style" w:hAnsi="Bookman Old Style" w:cs="Bookman Old Style"/>
          <w:spacing w:val="3"/>
          <w:w w:val="95"/>
          <w:sz w:val="22"/>
          <w:szCs w:val="22"/>
          <w:lang w:val="es-ES" w:eastAsia="es-ES"/>
        </w:rPr>
        <w:t xml:space="preserve">9 </w:t>
      </w:r>
      <w:r>
        <w:rPr>
          <w:rStyle w:val="CharacterStyle3"/>
          <w:rFonts w:ascii="Garamond" w:hAnsi="Garamond" w:cs="Garamond"/>
          <w:spacing w:val="3"/>
          <w:sz w:val="26"/>
          <w:szCs w:val="26"/>
          <w:lang w:val="es-ES" w:eastAsia="es-ES"/>
        </w:rPr>
        <w:t xml:space="preserve">de octubre de 1995, en lo que interesa </w:t>
      </w:r>
      <w:r>
        <w:rPr>
          <w:rStyle w:val="CharacterStyle3"/>
          <w:rFonts w:ascii="Garamond" w:hAnsi="Garamond" w:cs="Garamond"/>
          <w:sz w:val="26"/>
          <w:szCs w:val="26"/>
          <w:lang w:val="es-ES" w:eastAsia="es-ES"/>
        </w:rPr>
        <w:t>manifestó:</w:t>
      </w:r>
    </w:p>
    <w:p w:rsidR="00903B1B" w:rsidRDefault="00903B1B" w:rsidP="00903B1B">
      <w:pPr>
        <w:pStyle w:val="Style4"/>
        <w:kinsoku w:val="0"/>
        <w:autoSpaceDE/>
        <w:autoSpaceDN/>
        <w:adjustRightInd/>
        <w:spacing w:before="612" w:line="271" w:lineRule="auto"/>
        <w:ind w:right="1152" w:firstLine="72"/>
        <w:jc w:val="both"/>
        <w:rPr>
          <w:rStyle w:val="CharacterStyle3"/>
          <w:i/>
          <w:iCs/>
          <w:spacing w:val="7"/>
          <w:sz w:val="22"/>
          <w:szCs w:val="22"/>
          <w:lang w:val="es-ES" w:eastAsia="es-ES"/>
        </w:rPr>
      </w:pPr>
      <w:r>
        <w:rPr>
          <w:rStyle w:val="CharacterStyle3"/>
          <w:i/>
          <w:iCs/>
          <w:spacing w:val="12"/>
          <w:sz w:val="22"/>
          <w:szCs w:val="22"/>
          <w:lang w:val="es-ES" w:eastAsia="es-ES"/>
        </w:rPr>
        <w:t xml:space="preserve">" Que tal y como se ha expuesto en otras resoluciones, tanto por disposición legal y </w:t>
      </w:r>
      <w:r>
        <w:rPr>
          <w:rStyle w:val="CharacterStyle3"/>
          <w:i/>
          <w:iCs/>
          <w:spacing w:val="9"/>
          <w:sz w:val="22"/>
          <w:szCs w:val="22"/>
          <w:lang w:val="es-ES" w:eastAsia="es-ES"/>
        </w:rPr>
        <w:t xml:space="preserve">constitucional este órgano colegiado conoce en apelación, de los actos administrativos </w:t>
      </w:r>
      <w:r>
        <w:rPr>
          <w:rStyle w:val="CharacterStyle3"/>
          <w:i/>
          <w:iCs/>
          <w:spacing w:val="8"/>
          <w:sz w:val="22"/>
          <w:szCs w:val="22"/>
          <w:lang w:val="es-ES" w:eastAsia="es-ES"/>
        </w:rPr>
        <w:t xml:space="preserve">adoptados por diferentes órganos de la Administración Pública, como también de los </w:t>
      </w:r>
      <w:r>
        <w:rPr>
          <w:rStyle w:val="CharacterStyle3"/>
          <w:i/>
          <w:iCs/>
          <w:spacing w:val="6"/>
          <w:sz w:val="22"/>
          <w:szCs w:val="22"/>
          <w:lang w:val="es-ES" w:eastAsia="es-ES"/>
        </w:rPr>
        <w:t xml:space="preserve">acuerdos municipales, en una función que escapa a lo estrictamente jurídico, para ubicarse </w:t>
      </w:r>
      <w:r>
        <w:rPr>
          <w:rStyle w:val="CharacterStyle3"/>
          <w:i/>
          <w:iCs/>
          <w:spacing w:val="12"/>
          <w:sz w:val="22"/>
          <w:szCs w:val="22"/>
          <w:lang w:val="es-ES" w:eastAsia="es-ES"/>
        </w:rPr>
        <w:t xml:space="preserve">en el ámbito de la denominada "Jerarquía Impropia", en que se califica lo resuelto por </w:t>
      </w:r>
      <w:r>
        <w:rPr>
          <w:rStyle w:val="CharacterStyle3"/>
          <w:i/>
          <w:iCs/>
          <w:spacing w:val="10"/>
          <w:sz w:val="22"/>
          <w:szCs w:val="22"/>
          <w:lang w:val="es-ES" w:eastAsia="es-ES"/>
        </w:rPr>
        <w:t xml:space="preserve">este Tribunal no como sentencia, sino como acto que pone fin a la vía gubernativa. No </w:t>
      </w:r>
      <w:r>
        <w:rPr>
          <w:rStyle w:val="CharacterStyle3"/>
          <w:i/>
          <w:iCs/>
          <w:spacing w:val="14"/>
          <w:sz w:val="22"/>
          <w:szCs w:val="22"/>
          <w:lang w:val="es-ES" w:eastAsia="es-ES"/>
        </w:rPr>
        <w:t xml:space="preserve">obstante, ha de tenerse presente que nuestra competencia no viene dada de manera </w:t>
      </w:r>
      <w:r>
        <w:rPr>
          <w:rStyle w:val="CharacterStyle3"/>
          <w:i/>
          <w:iCs/>
          <w:spacing w:val="8"/>
          <w:sz w:val="22"/>
          <w:szCs w:val="22"/>
          <w:lang w:val="es-ES" w:eastAsia="es-ES"/>
        </w:rPr>
        <w:t xml:space="preserve">automática ni Viciosa,  sino por el contrario se genera a raíz de un recurso de apelación </w:t>
      </w:r>
      <w:r>
        <w:rPr>
          <w:rStyle w:val="CharacterStyle3"/>
          <w:i/>
          <w:iCs/>
          <w:spacing w:val="7"/>
          <w:sz w:val="22"/>
          <w:szCs w:val="22"/>
          <w:lang w:val="es-ES" w:eastAsia="es-ES"/>
        </w:rPr>
        <w:t xml:space="preserve">formal y oportunamente establecido ante la dependencia administrativa correspondiente, el </w:t>
      </w:r>
      <w:r>
        <w:rPr>
          <w:rStyle w:val="CharacterStyle3"/>
          <w:i/>
          <w:iCs/>
          <w:spacing w:val="11"/>
          <w:sz w:val="22"/>
          <w:szCs w:val="22"/>
          <w:lang w:val="es-ES" w:eastAsia="es-ES"/>
        </w:rPr>
        <w:t xml:space="preserve">cual obviamente debe estar autorizado por nuestro ordenamiento jurídico, es decir el </w:t>
      </w:r>
      <w:r>
        <w:rPr>
          <w:rStyle w:val="CharacterStyle3"/>
          <w:i/>
          <w:iCs/>
          <w:spacing w:val="10"/>
          <w:sz w:val="22"/>
          <w:szCs w:val="22"/>
          <w:lang w:val="es-ES" w:eastAsia="es-ES"/>
        </w:rPr>
        <w:t xml:space="preserve">Tribunal asume la competencia revisora de cualquier acto, solamente en el caso de que </w:t>
      </w:r>
      <w:r>
        <w:rPr>
          <w:rStyle w:val="CharacterStyle3"/>
          <w:i/>
          <w:iCs/>
          <w:spacing w:val="15"/>
          <w:sz w:val="22"/>
          <w:szCs w:val="22"/>
          <w:lang w:val="es-ES" w:eastAsia="es-ES"/>
        </w:rPr>
        <w:t xml:space="preserve">contra él. </w:t>
      </w:r>
      <w:proofErr w:type="gramStart"/>
      <w:r>
        <w:rPr>
          <w:rStyle w:val="CharacterStyle3"/>
          <w:i/>
          <w:iCs/>
          <w:spacing w:val="15"/>
          <w:sz w:val="22"/>
          <w:szCs w:val="22"/>
          <w:lang w:val="es-ES" w:eastAsia="es-ES"/>
        </w:rPr>
        <w:t>se</w:t>
      </w:r>
      <w:proofErr w:type="gramEnd"/>
      <w:r>
        <w:rPr>
          <w:rStyle w:val="CharacterStyle3"/>
          <w:i/>
          <w:iCs/>
          <w:spacing w:val="15"/>
          <w:sz w:val="22"/>
          <w:szCs w:val="22"/>
          <w:lang w:val="es-ES" w:eastAsia="es-ES"/>
        </w:rPr>
        <w:t xml:space="preserve"> hubiere interpuesto recurso de apelación, ya que nos está vedado por </w:t>
      </w:r>
      <w:r>
        <w:rPr>
          <w:rStyle w:val="CharacterStyle3"/>
          <w:i/>
          <w:iCs/>
          <w:spacing w:val="9"/>
          <w:sz w:val="22"/>
          <w:szCs w:val="22"/>
          <w:lang w:val="es-ES" w:eastAsia="es-ES"/>
        </w:rPr>
        <w:t xml:space="preserve">disposición expresa de la ley o conocer de estos asuntos en forma oficiosa y mucho menos </w:t>
      </w:r>
      <w:r>
        <w:rPr>
          <w:rStyle w:val="CharacterStyle3"/>
          <w:i/>
          <w:iCs/>
          <w:spacing w:val="16"/>
          <w:sz w:val="22"/>
          <w:szCs w:val="22"/>
          <w:lang w:val="es-ES" w:eastAsia="es-ES"/>
        </w:rPr>
        <w:t xml:space="preserve">en avocación. De esa manera lo preceptúa el artículo 181 de la Ley General de la </w:t>
      </w:r>
      <w:r>
        <w:rPr>
          <w:rStyle w:val="CharacterStyle3"/>
          <w:i/>
          <w:iCs/>
          <w:spacing w:val="10"/>
          <w:sz w:val="22"/>
          <w:szCs w:val="22"/>
          <w:lang w:val="es-ES" w:eastAsia="es-ES"/>
        </w:rPr>
        <w:t xml:space="preserve">Administración Pública cuando estipula lo siguiente: El contralor no jerárquico podrá </w:t>
      </w:r>
      <w:r>
        <w:rPr>
          <w:rStyle w:val="CharacterStyle3"/>
          <w:i/>
          <w:iCs/>
          <w:spacing w:val="9"/>
          <w:sz w:val="22"/>
          <w:szCs w:val="22"/>
          <w:lang w:val="es-ES" w:eastAsia="es-ES"/>
        </w:rPr>
        <w:t xml:space="preserve">revisar sólo la legalidad del acto y en virtud de recurso administrativo, y decidirá dentro </w:t>
      </w:r>
      <w:r>
        <w:rPr>
          <w:rStyle w:val="CharacterStyle3"/>
          <w:i/>
          <w:iCs/>
          <w:spacing w:val="10"/>
          <w:sz w:val="22"/>
          <w:szCs w:val="22"/>
          <w:lang w:val="es-ES" w:eastAsia="es-ES"/>
        </w:rPr>
        <w:t xml:space="preserve">del límite de las </w:t>
      </w:r>
      <w:r>
        <w:rPr>
          <w:rStyle w:val="CharacterStyle3"/>
          <w:i/>
          <w:iCs/>
          <w:spacing w:val="10"/>
          <w:w w:val="105"/>
          <w:sz w:val="23"/>
          <w:szCs w:val="23"/>
          <w:lang w:val="es-ES" w:eastAsia="es-ES"/>
        </w:rPr>
        <w:t xml:space="preserve">pretensiones </w:t>
      </w:r>
      <w:r>
        <w:rPr>
          <w:rStyle w:val="CharacterStyle3"/>
          <w:i/>
          <w:iCs/>
          <w:spacing w:val="10"/>
          <w:sz w:val="22"/>
          <w:szCs w:val="22"/>
          <w:lang w:val="es-ES" w:eastAsia="es-ES"/>
        </w:rPr>
        <w:t xml:space="preserve">y cuestiones de hecho planteadas por el recurrente, pero </w:t>
      </w:r>
      <w:r>
        <w:rPr>
          <w:rStyle w:val="CharacterStyle3"/>
          <w:i/>
          <w:iCs/>
          <w:spacing w:val="7"/>
          <w:sz w:val="22"/>
          <w:szCs w:val="22"/>
          <w:lang w:val="es-ES" w:eastAsia="es-ES"/>
        </w:rPr>
        <w:t xml:space="preserve">podrá aplicar' una </w:t>
      </w:r>
      <w:r>
        <w:rPr>
          <w:rStyle w:val="CharacterStyle3"/>
          <w:i/>
          <w:iCs/>
          <w:spacing w:val="7"/>
          <w:w w:val="105"/>
          <w:sz w:val="23"/>
          <w:szCs w:val="23"/>
          <w:lang w:val="es-ES" w:eastAsia="es-ES"/>
        </w:rPr>
        <w:t xml:space="preserve">norma no </w:t>
      </w:r>
      <w:r>
        <w:rPr>
          <w:rStyle w:val="CharacterStyle3"/>
          <w:i/>
          <w:iCs/>
          <w:spacing w:val="7"/>
          <w:sz w:val="22"/>
          <w:szCs w:val="22"/>
          <w:lang w:val="es-ES" w:eastAsia="es-ES"/>
        </w:rPr>
        <w:t>invocada en el recurso."</w:t>
      </w:r>
    </w:p>
    <w:p w:rsidR="00903B1B" w:rsidRDefault="00903B1B" w:rsidP="00903B1B">
      <w:pPr>
        <w:pStyle w:val="Style4"/>
        <w:kinsoku w:val="0"/>
        <w:autoSpaceDE/>
        <w:autoSpaceDN/>
        <w:adjustRightInd/>
        <w:spacing w:before="864" w:line="211" w:lineRule="auto"/>
        <w:ind w:right="1152"/>
        <w:jc w:val="both"/>
        <w:rPr>
          <w:rStyle w:val="CharacterStyle3"/>
          <w:rFonts w:ascii="Garamond" w:hAnsi="Garamond" w:cs="Garamond"/>
          <w:spacing w:val="-5"/>
          <w:sz w:val="26"/>
          <w:szCs w:val="26"/>
          <w:lang w:val="es-ES" w:eastAsia="es-ES"/>
        </w:rPr>
      </w:pPr>
      <w:r>
        <w:rPr>
          <w:rStyle w:val="CharacterStyle3"/>
          <w:rFonts w:ascii="Garamond" w:hAnsi="Garamond" w:cs="Garamond"/>
          <w:spacing w:val="-7"/>
          <w:sz w:val="26"/>
          <w:szCs w:val="26"/>
          <w:lang w:val="es-ES" w:eastAsia="es-ES"/>
        </w:rPr>
        <w:t xml:space="preserve">Este Tribunal Administrativo tiene la obligación histórica de colaborar con la formación de la </w:t>
      </w:r>
      <w:r>
        <w:rPr>
          <w:rStyle w:val="CharacterStyle3"/>
          <w:rFonts w:ascii="Garamond" w:hAnsi="Garamond" w:cs="Garamond"/>
          <w:sz w:val="26"/>
          <w:szCs w:val="26"/>
          <w:lang w:val="es-ES" w:eastAsia="es-ES"/>
        </w:rPr>
        <w:t xml:space="preserve">nueva cultura organizacional que se pretende llevar al Sistema de Transporte Público </w:t>
      </w:r>
      <w:r>
        <w:rPr>
          <w:rStyle w:val="CharacterStyle3"/>
          <w:rFonts w:ascii="Garamond" w:hAnsi="Garamond" w:cs="Garamond"/>
          <w:spacing w:val="-2"/>
          <w:sz w:val="26"/>
          <w:szCs w:val="26"/>
          <w:lang w:val="es-ES" w:eastAsia="es-ES"/>
        </w:rPr>
        <w:t xml:space="preserve">Terrestre, conscientes de este objetivo, llamamos la atención del Consejo de Transporte </w:t>
      </w:r>
      <w:r>
        <w:rPr>
          <w:rStyle w:val="CharacterStyle3"/>
          <w:rFonts w:ascii="Garamond" w:hAnsi="Garamond" w:cs="Garamond"/>
          <w:spacing w:val="-3"/>
          <w:sz w:val="26"/>
          <w:szCs w:val="26"/>
          <w:lang w:val="es-ES" w:eastAsia="es-ES"/>
        </w:rPr>
        <w:t xml:space="preserve">Público por la remisión de casos como el presente, en que es claro que no hay impugnación </w:t>
      </w:r>
      <w:r>
        <w:rPr>
          <w:rStyle w:val="CharacterStyle3"/>
          <w:rFonts w:ascii="Garamond" w:hAnsi="Garamond" w:cs="Garamond"/>
          <w:spacing w:val="-4"/>
          <w:sz w:val="26"/>
          <w:szCs w:val="26"/>
          <w:lang w:val="es-ES" w:eastAsia="es-ES"/>
        </w:rPr>
        <w:t xml:space="preserve">de acto alguno. Elevar en alzada una gestión, no solo constituye un grave error, sino que </w:t>
      </w:r>
      <w:r>
        <w:rPr>
          <w:rStyle w:val="CharacterStyle3"/>
          <w:rFonts w:ascii="Garamond" w:hAnsi="Garamond" w:cs="Garamond"/>
          <w:spacing w:val="-6"/>
          <w:sz w:val="26"/>
          <w:szCs w:val="26"/>
          <w:lang w:val="es-ES" w:eastAsia="es-ES"/>
        </w:rPr>
        <w:t xml:space="preserve">evidencia un serio desconocimiento de la legislación que rige esta materia, razón por la que </w:t>
      </w:r>
      <w:r>
        <w:rPr>
          <w:rStyle w:val="CharacterStyle3"/>
          <w:rFonts w:ascii="Garamond" w:hAnsi="Garamond" w:cs="Garamond"/>
          <w:spacing w:val="-2"/>
          <w:sz w:val="26"/>
          <w:szCs w:val="26"/>
          <w:lang w:val="es-ES" w:eastAsia="es-ES"/>
        </w:rPr>
        <w:t xml:space="preserve">solicitamos al Consejo de Transporte Público, girar instrucciones a sus dependencias para </w:t>
      </w:r>
      <w:r>
        <w:rPr>
          <w:rStyle w:val="CharacterStyle3"/>
          <w:rFonts w:ascii="Garamond" w:hAnsi="Garamond" w:cs="Garamond"/>
          <w:spacing w:val="-5"/>
          <w:sz w:val="26"/>
          <w:szCs w:val="26"/>
          <w:lang w:val="es-ES" w:eastAsia="es-ES"/>
        </w:rPr>
        <w:t>que juntos evitemos este desgaste de recursos materiales y humanos, de los que adolecemos.</w:t>
      </w:r>
    </w:p>
    <w:p w:rsidR="00903B1B" w:rsidRDefault="00903B1B" w:rsidP="00903B1B">
      <w:pPr>
        <w:widowControl/>
        <w:kinsoku/>
        <w:autoSpaceDE w:val="0"/>
        <w:autoSpaceDN w:val="0"/>
        <w:adjustRightInd w:val="0"/>
        <w:sectPr w:rsidR="00903B1B">
          <w:pgSz w:w="12240" w:h="15840"/>
          <w:pgMar w:top="700" w:right="878" w:bottom="3190" w:left="1222" w:header="720" w:footer="720" w:gutter="0"/>
          <w:cols w:space="720"/>
          <w:noEndnote/>
        </w:sectPr>
      </w:pPr>
    </w:p>
    <w:p w:rsidR="00903B1B" w:rsidRDefault="00903B1B" w:rsidP="00903B1B">
      <w:pPr>
        <w:pStyle w:val="Style4"/>
        <w:kinsoku w:val="0"/>
        <w:autoSpaceDE/>
        <w:autoSpaceDN/>
        <w:adjustRightInd/>
        <w:spacing w:after="504" w:line="227" w:lineRule="exact"/>
        <w:jc w:val="center"/>
        <w:rPr>
          <w:rStyle w:val="CharacterStyle3"/>
          <w:rFonts w:ascii="Garamond" w:hAnsi="Garamond" w:cs="Garamond"/>
          <w:sz w:val="27"/>
          <w:szCs w:val="27"/>
          <w:lang w:val="es-ES" w:eastAsia="es-ES"/>
        </w:rPr>
      </w:pPr>
      <w:r>
        <w:rPr>
          <w:rStyle w:val="CharacterStyle3"/>
          <w:rFonts w:ascii="Garamond" w:hAnsi="Garamond" w:cs="Garamond"/>
          <w:sz w:val="27"/>
          <w:szCs w:val="27"/>
          <w:lang w:val="es-ES" w:eastAsia="es-ES"/>
        </w:rPr>
        <w:lastRenderedPageBreak/>
        <w:t>POR TANTO:</w:t>
      </w:r>
    </w:p>
    <w:p w:rsidR="00903B1B" w:rsidRDefault="00903B1B" w:rsidP="00903B1B">
      <w:pPr>
        <w:pStyle w:val="Style4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adjustRightInd/>
        <w:spacing w:line="299" w:lineRule="exact"/>
        <w:ind w:right="-3034"/>
        <w:rPr>
          <w:rStyle w:val="CharacterStyle3"/>
          <w:rFonts w:ascii="Garamond" w:hAnsi="Garamond" w:cs="Garamond"/>
          <w:spacing w:val="-10"/>
          <w:sz w:val="27"/>
          <w:szCs w:val="27"/>
          <w:lang w:val="es-ES" w:eastAsia="es-ES"/>
        </w:rPr>
      </w:pPr>
      <w:r>
        <w:rPr>
          <w:noProof/>
          <w:lang w:val="es-CR"/>
        </w:rPr>
        <w:pict>
          <v:shape id="_x0000_s1028" type="#_x0000_t202" style="position:absolute;left:0;text-align:left;margin-left:0;margin-top:213.6pt;width:49.1pt;height:26.6pt;z-index:25166233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903B1B" w:rsidRPr="0021356B" w:rsidRDefault="00903B1B" w:rsidP="00903B1B">
                  <w:pPr>
                    <w:rPr>
                      <w:rStyle w:val="CharacterStyle3"/>
                      <w:sz w:val="24"/>
                      <w:szCs w:val="27"/>
                    </w:rPr>
                  </w:pPr>
                </w:p>
              </w:txbxContent>
            </v:textbox>
            <w10:wrap type="square"/>
          </v:shape>
        </w:pict>
      </w:r>
      <w:r>
        <w:rPr>
          <w:rStyle w:val="CharacterStyle3"/>
          <w:rFonts w:ascii="Garamond" w:hAnsi="Garamond" w:cs="Garamond"/>
          <w:spacing w:val="-10"/>
          <w:sz w:val="27"/>
          <w:szCs w:val="27"/>
          <w:lang w:val="es-ES" w:eastAsia="es-ES"/>
        </w:rPr>
        <w:t xml:space="preserve">Declarar mal admitida la gestión presentada por AAH, cédula de identidad </w:t>
      </w:r>
      <w:proofErr w:type="gramStart"/>
      <w:r>
        <w:rPr>
          <w:rStyle w:val="CharacterStyle3"/>
          <w:rFonts w:ascii="Garamond" w:hAnsi="Garamond" w:cs="Garamond"/>
          <w:spacing w:val="-10"/>
          <w:sz w:val="27"/>
          <w:szCs w:val="27"/>
          <w:lang w:val="es-ES" w:eastAsia="es-ES"/>
        </w:rPr>
        <w:t>número …</w:t>
      </w:r>
      <w:proofErr w:type="gramEnd"/>
      <w:r>
        <w:rPr>
          <w:rStyle w:val="CharacterStyle3"/>
          <w:rFonts w:ascii="Garamond" w:hAnsi="Garamond" w:cs="Garamond"/>
          <w:spacing w:val="-10"/>
          <w:sz w:val="27"/>
          <w:szCs w:val="27"/>
          <w:lang w:val="es-ES" w:eastAsia="es-ES"/>
        </w:rPr>
        <w:t>., ante esta instancia.</w:t>
      </w:r>
    </w:p>
    <w:p w:rsidR="00903B1B" w:rsidRDefault="00903B1B" w:rsidP="00903B1B">
      <w:pPr>
        <w:pStyle w:val="Style4"/>
        <w:numPr>
          <w:ilvl w:val="0"/>
          <w:numId w:val="1"/>
        </w:numPr>
        <w:tabs>
          <w:tab w:val="clear" w:pos="432"/>
          <w:tab w:val="num" w:pos="576"/>
          <w:tab w:val="right" w:pos="5249"/>
        </w:tabs>
        <w:kinsoku w:val="0"/>
        <w:autoSpaceDE/>
        <w:autoSpaceDN/>
        <w:adjustRightInd/>
        <w:spacing w:before="180" w:line="320" w:lineRule="exact"/>
        <w:ind w:right="-3034"/>
        <w:rPr>
          <w:rStyle w:val="CharacterStyle3"/>
          <w:i/>
          <w:iCs/>
          <w:spacing w:val="-10"/>
          <w:sz w:val="24"/>
          <w:szCs w:val="24"/>
          <w:lang w:val="es-ES" w:eastAsia="es-ES"/>
        </w:rPr>
      </w:pPr>
      <w:r w:rsidRPr="0021356B">
        <w:rPr>
          <w:rStyle w:val="CharacterStyle3"/>
          <w:rFonts w:ascii="Garamond" w:hAnsi="Garamond" w:cs="Garamond"/>
          <w:spacing w:val="-3"/>
          <w:sz w:val="27"/>
          <w:szCs w:val="27"/>
          <w:lang w:val="es-ES" w:eastAsia="es-ES"/>
        </w:rPr>
        <w:t>De conformidad con el artículo 22, inciso c), de la citada Ley 7969, la presente</w:t>
      </w:r>
      <w:r w:rsidRPr="0021356B">
        <w:rPr>
          <w:rStyle w:val="CharacterStyle3"/>
          <w:rFonts w:ascii="Garamond" w:hAnsi="Garamond" w:cs="Garamond"/>
          <w:spacing w:val="-6"/>
          <w:sz w:val="27"/>
          <w:szCs w:val="27"/>
          <w:lang w:val="es-ES" w:eastAsia="es-ES"/>
        </w:rPr>
        <w:tab/>
      </w:r>
      <w:r w:rsidRPr="0021356B">
        <w:rPr>
          <w:rStyle w:val="CharacterStyle3"/>
          <w:rFonts w:ascii="Garamond" w:hAnsi="Garamond" w:cs="Garamond"/>
          <w:spacing w:val="-10"/>
          <w:sz w:val="27"/>
          <w:szCs w:val="27"/>
          <w:lang w:val="es-ES" w:eastAsia="es-ES"/>
        </w:rPr>
        <w:t>resolución no tiene ulterior recurso por lo</w:t>
      </w:r>
      <w:r w:rsidRPr="0021356B">
        <w:rPr>
          <w:rStyle w:val="CharacterStyle3"/>
          <w:rFonts w:ascii="Garamond" w:hAnsi="Garamond" w:cs="Garamond"/>
          <w:spacing w:val="-10"/>
          <w:sz w:val="27"/>
          <w:szCs w:val="27"/>
          <w:lang w:val="es-ES" w:eastAsia="es-ES"/>
        </w:rPr>
        <w:tab/>
      </w:r>
      <w:r>
        <w:rPr>
          <w:rStyle w:val="CharacterStyle3"/>
          <w:rFonts w:ascii="Garamond" w:hAnsi="Garamond" w:cs="Garamond"/>
          <w:spacing w:val="-10"/>
          <w:sz w:val="27"/>
          <w:szCs w:val="27"/>
          <w:lang w:val="es-ES" w:eastAsia="es-ES"/>
        </w:rPr>
        <w:t xml:space="preserve"> que se ti</w:t>
      </w:r>
      <w:r w:rsidRPr="0021356B">
        <w:rPr>
          <w:rStyle w:val="CharacterStyle3"/>
          <w:rFonts w:ascii="Bookman Old Style" w:hAnsi="Bookman Old Style" w:cs="Bookman Old Style"/>
          <w:i/>
          <w:iCs/>
          <w:spacing w:val="-10"/>
          <w:sz w:val="23"/>
          <w:szCs w:val="23"/>
          <w:lang w:val="es-ES" w:eastAsia="es-ES"/>
        </w:rPr>
        <w:t xml:space="preserve">ene por agotada la </w:t>
      </w:r>
      <w:r w:rsidRPr="0021356B">
        <w:rPr>
          <w:rStyle w:val="CharacterStyle3"/>
          <w:i/>
          <w:iCs/>
          <w:spacing w:val="-10"/>
          <w:sz w:val="24"/>
          <w:szCs w:val="24"/>
          <w:lang w:val="es-ES" w:eastAsia="es-ES"/>
        </w:rPr>
        <w:t>vía administrativa.</w:t>
      </w:r>
    </w:p>
    <w:p w:rsidR="00903B1B" w:rsidRDefault="00903B1B" w:rsidP="00903B1B">
      <w:pPr>
        <w:pStyle w:val="Style4"/>
        <w:tabs>
          <w:tab w:val="right" w:pos="5249"/>
        </w:tabs>
        <w:kinsoku w:val="0"/>
        <w:autoSpaceDE/>
        <w:autoSpaceDN/>
        <w:adjustRightInd/>
        <w:spacing w:before="180" w:line="320" w:lineRule="exact"/>
        <w:ind w:left="144" w:right="-3034"/>
        <w:rPr>
          <w:rStyle w:val="CharacterStyle3"/>
          <w:rFonts w:ascii="Garamond" w:hAnsi="Garamond" w:cs="Garamond"/>
          <w:spacing w:val="-6"/>
          <w:sz w:val="27"/>
          <w:szCs w:val="27"/>
          <w:lang w:val="es-ES" w:eastAsia="es-ES"/>
        </w:rPr>
      </w:pPr>
      <w:r>
        <w:rPr>
          <w:rStyle w:val="CharacterStyle3"/>
          <w:rFonts w:ascii="Garamond" w:hAnsi="Garamond" w:cs="Garamond"/>
          <w:spacing w:val="-6"/>
          <w:sz w:val="27"/>
          <w:szCs w:val="27"/>
          <w:lang w:val="es-ES" w:eastAsia="es-ES"/>
        </w:rPr>
        <w:t>NOTIFIQUESE.-</w:t>
      </w:r>
    </w:p>
    <w:p w:rsidR="00903B1B" w:rsidRDefault="00903B1B" w:rsidP="00903B1B">
      <w:pPr>
        <w:pStyle w:val="Style4"/>
        <w:tabs>
          <w:tab w:val="right" w:pos="5249"/>
        </w:tabs>
        <w:kinsoku w:val="0"/>
        <w:autoSpaceDE/>
        <w:autoSpaceDN/>
        <w:adjustRightInd/>
        <w:spacing w:before="180" w:line="320" w:lineRule="exact"/>
        <w:ind w:left="144" w:right="-3034"/>
        <w:rPr>
          <w:rStyle w:val="CharacterStyle3"/>
          <w:rFonts w:ascii="Garamond" w:hAnsi="Garamond" w:cs="Garamond"/>
          <w:spacing w:val="-6"/>
          <w:sz w:val="27"/>
          <w:szCs w:val="27"/>
          <w:lang w:val="es-ES" w:eastAsia="es-ES"/>
        </w:rPr>
      </w:pPr>
    </w:p>
    <w:p w:rsidR="00903B1B" w:rsidRDefault="00903B1B" w:rsidP="00903B1B">
      <w:pPr>
        <w:ind w:left="993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903B1B" w:rsidRDefault="00903B1B" w:rsidP="00903B1B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903B1B" w:rsidRDefault="00903B1B" w:rsidP="00903B1B">
      <w:pPr>
        <w:ind w:left="993"/>
        <w:jc w:val="center"/>
        <w:rPr>
          <w:sz w:val="26"/>
          <w:szCs w:val="26"/>
        </w:rPr>
      </w:pPr>
    </w:p>
    <w:p w:rsidR="00903B1B" w:rsidRDefault="00903B1B" w:rsidP="00903B1B">
      <w:pPr>
        <w:ind w:left="993"/>
        <w:rPr>
          <w:sz w:val="26"/>
          <w:szCs w:val="26"/>
        </w:rPr>
      </w:pPr>
    </w:p>
    <w:p w:rsidR="00903B1B" w:rsidRDefault="00903B1B" w:rsidP="00903B1B">
      <w:pPr>
        <w:ind w:right="-303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903B1B" w:rsidRDefault="00903B1B" w:rsidP="00903B1B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903B1B" w:rsidRPr="0021356B" w:rsidRDefault="00903B1B" w:rsidP="00903B1B">
      <w:pPr>
        <w:pStyle w:val="Style4"/>
        <w:tabs>
          <w:tab w:val="right" w:pos="5249"/>
        </w:tabs>
        <w:kinsoku w:val="0"/>
        <w:autoSpaceDE/>
        <w:autoSpaceDN/>
        <w:adjustRightInd/>
        <w:spacing w:before="180" w:line="320" w:lineRule="exact"/>
        <w:ind w:left="144" w:right="-3034"/>
        <w:rPr>
          <w:i/>
          <w:iCs/>
          <w:spacing w:val="-10"/>
          <w:sz w:val="24"/>
          <w:szCs w:val="24"/>
          <w:lang w:val="es-ES" w:eastAsia="es-ES"/>
        </w:rPr>
      </w:pPr>
    </w:p>
    <w:p w:rsidR="00903B1B" w:rsidRDefault="00903B1B" w:rsidP="00903B1B">
      <w:pPr>
        <w:spacing w:after="4343" w:line="20" w:lineRule="exact"/>
        <w:ind w:left="840"/>
      </w:pPr>
    </w:p>
    <w:p w:rsidR="00903B1B" w:rsidRDefault="00903B1B" w:rsidP="00903B1B">
      <w:pPr>
        <w:widowControl/>
        <w:kinsoku/>
        <w:autoSpaceDE w:val="0"/>
        <w:autoSpaceDN w:val="0"/>
        <w:adjustRightInd w:val="0"/>
        <w:sectPr w:rsidR="00903B1B">
          <w:pgSz w:w="12240" w:h="15840"/>
          <w:pgMar w:top="720" w:right="4586" w:bottom="1650" w:left="1474" w:header="720" w:footer="720" w:gutter="0"/>
          <w:cols w:space="720"/>
          <w:noEndnote/>
        </w:sectPr>
      </w:pPr>
    </w:p>
    <w:p w:rsidR="00903B1B" w:rsidRDefault="00903B1B" w:rsidP="00903B1B">
      <w:pPr>
        <w:spacing w:before="4093" w:line="288" w:lineRule="exact"/>
      </w:pPr>
    </w:p>
    <w:p w:rsidR="00903B1B" w:rsidRDefault="00903B1B" w:rsidP="00903B1B">
      <w:pPr>
        <w:spacing w:before="4093" w:line="288" w:lineRule="exact"/>
        <w:sectPr w:rsidR="00903B1B">
          <w:type w:val="continuous"/>
          <w:pgSz w:w="12240" w:h="15840"/>
          <w:pgMar w:top="720" w:right="1572" w:bottom="1650" w:left="1632" w:header="720" w:footer="720" w:gutter="0"/>
          <w:cols w:space="720"/>
          <w:noEndnote/>
        </w:sectPr>
      </w:pPr>
    </w:p>
    <w:p w:rsidR="00903B1B" w:rsidRDefault="00903B1B" w:rsidP="00903B1B"/>
    <w:p w:rsidR="00F07A18" w:rsidRDefault="00F07A18"/>
    <w:sectPr w:rsidR="00F07A18">
      <w:type w:val="continuous"/>
      <w:pgSz w:w="12240" w:h="15840"/>
      <w:pgMar w:top="720" w:right="1561" w:bottom="1650" w:left="231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D02B"/>
    <w:multiLevelType w:val="singleLevel"/>
    <w:tmpl w:val="2571F10C"/>
    <w:lvl w:ilvl="0">
      <w:start w:val="1"/>
      <w:numFmt w:val="upperRoman"/>
      <w:lvlText w:val="%1.-"/>
      <w:lvlJc w:val="left"/>
      <w:pPr>
        <w:tabs>
          <w:tab w:val="num" w:pos="432"/>
        </w:tabs>
        <w:ind w:left="72" w:firstLine="72"/>
      </w:pPr>
      <w:rPr>
        <w:rFonts w:ascii="Garamond" w:hAnsi="Garamond" w:cs="Garamond"/>
        <w:snapToGrid/>
        <w:spacing w:val="-10"/>
        <w:sz w:val="27"/>
        <w:szCs w:val="27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3B1B"/>
    <w:rsid w:val="000823AA"/>
    <w:rsid w:val="003739B8"/>
    <w:rsid w:val="003819BC"/>
    <w:rsid w:val="003D5801"/>
    <w:rsid w:val="006A5EC0"/>
    <w:rsid w:val="00903B1B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B1B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903B1B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903B1B"/>
    <w:pPr>
      <w:kinsoku/>
      <w:autoSpaceDE w:val="0"/>
      <w:autoSpaceDN w:val="0"/>
      <w:spacing w:before="540" w:line="288" w:lineRule="exact"/>
    </w:pPr>
    <w:rPr>
      <w:sz w:val="26"/>
      <w:szCs w:val="26"/>
    </w:rPr>
  </w:style>
  <w:style w:type="paragraph" w:customStyle="1" w:styleId="Style2">
    <w:name w:val="Style 2"/>
    <w:basedOn w:val="Normal"/>
    <w:uiPriority w:val="99"/>
    <w:rsid w:val="00903B1B"/>
    <w:pPr>
      <w:kinsoku/>
      <w:autoSpaceDE w:val="0"/>
      <w:autoSpaceDN w:val="0"/>
      <w:spacing w:before="180" w:line="208" w:lineRule="auto"/>
      <w:ind w:right="72"/>
      <w:jc w:val="both"/>
    </w:pPr>
    <w:rPr>
      <w:sz w:val="26"/>
      <w:szCs w:val="26"/>
    </w:rPr>
  </w:style>
  <w:style w:type="paragraph" w:customStyle="1" w:styleId="Style4">
    <w:name w:val="Style 4"/>
    <w:basedOn w:val="Normal"/>
    <w:uiPriority w:val="99"/>
    <w:rsid w:val="00903B1B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903B1B"/>
    <w:rPr>
      <w:sz w:val="26"/>
    </w:rPr>
  </w:style>
  <w:style w:type="character" w:customStyle="1" w:styleId="CharacterStyle3">
    <w:name w:val="Character Style 3"/>
    <w:uiPriority w:val="99"/>
    <w:rsid w:val="00903B1B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1150</Words>
  <Characters>6329</Characters>
  <Application>Microsoft Office Word</Application>
  <DocSecurity>0</DocSecurity>
  <Lines>52</Lines>
  <Paragraphs>14</Paragraphs>
  <ScaleCrop>false</ScaleCrop>
  <Company/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2013-08-19T20:56:00Z</dcterms:created>
  <dcterms:modified xsi:type="dcterms:W3CDTF">2013-08-19T20:57:00Z</dcterms:modified>
</cp:coreProperties>
</file>